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ascii="黑体" w:hAnsi="黑体" w:eastAsia="黑体" w:cs="黑体"/>
          <w:sz w:val="36"/>
          <w:szCs w:val="52"/>
        </w:rPr>
      </w:pPr>
      <w:r>
        <w:rPr>
          <w:rFonts w:hint="eastAsia" w:ascii="黑体" w:hAnsi="黑体" w:eastAsia="黑体" w:cs="黑体"/>
          <w:sz w:val="36"/>
          <w:szCs w:val="52"/>
        </w:rPr>
        <w:t>湖北省气象局</w:t>
      </w:r>
      <w:r>
        <w:rPr>
          <w:rFonts w:hint="eastAsia" w:ascii="黑体" w:hAnsi="黑体" w:eastAsia="黑体" w:cs="黑体"/>
          <w:sz w:val="36"/>
          <w:szCs w:val="52"/>
          <w:lang w:eastAsia="zh-CN"/>
        </w:rPr>
        <w:t>党员干部</w:t>
      </w:r>
      <w:r>
        <w:rPr>
          <w:rFonts w:hint="eastAsia" w:ascii="黑体" w:hAnsi="黑体" w:eastAsia="黑体" w:cs="黑体"/>
          <w:sz w:val="36"/>
          <w:szCs w:val="52"/>
        </w:rPr>
        <w:t>下基层察民情解民忧暖民心实践活动任务清单</w:t>
      </w:r>
    </w:p>
    <w:tbl>
      <w:tblPr>
        <w:tblStyle w:val="3"/>
        <w:tblW w:w="15877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4207"/>
        <w:gridCol w:w="4819"/>
        <w:gridCol w:w="2847"/>
        <w:gridCol w:w="1122"/>
        <w:gridCol w:w="127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tblHeader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问题名称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工作任务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工作目标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责任领导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承办处室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完成时限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需要茶叶生产相关的气象服务产品。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1.将调研对象纳入预警信号发布对象，及时发布气象灾害预警信号。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2.指导市县气象部门开展指导性强、针对性高的气象服务。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推进茶叶气象服务中心建设。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该茶叶专业合作社接收到气象灾害预警信号，获得茶叶生产气象服务产品。年底建成茶叶气象服务中心。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柯怡明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减灾处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科学防范应对雷电、大风等灾害性天气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意识不强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将气象灾害科普与入户排查有效衔接，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通城县隽水镇利和村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宣讲普及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气象防灾减灾科普知识，防止因灾返贫。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气象灾害科普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知识宣讲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普及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，有效提升贫困户群体避灾能力。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柯怡明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10月底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防雷检测资质单位备案不规范，检测市场技术质量良莠不齐，检测人员检测能力不强。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1.开展外省防雷检测资质单位和分支机构专项检查。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2.组织防雷检测行业规范化发展研讨，加强防雷检测质量考核力度，规范防雷检测流程和报告书制作标准。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3.加强检测人员培训，线上线下结合，理论实操结合。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4.统一雷电防护装置检测报告格式。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通过系列举措，规范外省防雷检测资质单位和分支机构管理，检测人员业务能力和检测质量有效提升。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王仁乔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法规处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10月底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并长期坚持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" w:eastAsia="zh-CN"/>
              </w:rPr>
              <w:t>景区升级改造需要气象部门支持指导。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1.在罗田天堂寨景区升级改造中对气象设备的安装与布点给予指导。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2.根据罗田天堂寨景区雷电灾害防御的需要，告知其合理布局雷电灾害防护装置，督促景区对已有的雷电灾害防护装置定期进行检测。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指导完成气象仪器设备安装、雷电防护装置安装和检测工作。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王仁乔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观测处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法规处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需要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更多的有关养殖的农业气象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产品。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省市业务单位制作传送有关养殖行业的农业气象服务产品。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有针对性提供农业气象产品。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预报处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减灾处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需要防汛期间汉江中游更精准面雨量预报产品。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省市制作汉江流域面雨量预报产品。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根据需要提供具体流域具体时段的面雨量预报产品。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预报处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减灾处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作业人员冰雹云雷达识别资料应用能力不足。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派专家对技术人员进行现场培训。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作业点作业人员熟练掌握冰雹云识别雷达资料应用技术。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彭  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人影办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建设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村级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气象科普馆需要支持和指导。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组织编制“气象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科普馆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”建设方案，支持建设融气象为农服务、气象防灾减灾、气象科普为一体的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气象科普馆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气象科普馆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”建设方案，充分发挥部门优势，争取项目支持气象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科普馆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建设。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彭  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党  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10月底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鲜桃生长需要精细化气象服务产品。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指导县市开展桃生产精细化气象服务。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推进果桃气象服务中心建设。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桃生产基地获得精细化气象服务产品。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年底建成果桃气象服务中心。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陈博杰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汪金福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减灾处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预报处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不同用户细分和气象服务的针对性不够。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通过融媒体方式向普通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农户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3天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预报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服务，通过直通式气象服务向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种养大户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和专业合作社等提供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7-10天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预报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服务，通过决策气象服务对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应急、水利、农业等不同部门用户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提供月度及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年度气候趋势预测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等服务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针对不同的用户形成有针对性的服务产品和服务方式。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汪金福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减灾处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预报处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安山国家湿地公园观测要素布局有待优化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在安山国家湿地公园建设气象观测站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完成气象观测站建设，气象观测要素布局得到优化。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王  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观测处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10月底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需要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针对性、指导性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强的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设施蔬菜及林果气象服务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完善专业气象服务产品，为阳新军垦农场种植企业开展直通式、有针对性的专业气象服务。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将阳新军垦农场种植企业纳入直通式服务对象，开展柑橘、果树等极端低温、持续性低温气象服务。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王  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减灾处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10月底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AE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党办文秘:处室排版</cp:lastModifiedBy>
  <dcterms:modified xsi:type="dcterms:W3CDTF">2022-07-27T11:08:05Z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